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3" w:rsidRPr="00F71365" w:rsidRDefault="00460202" w:rsidP="00CE6A88">
      <w:pPr>
        <w:pageBreakBefore/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page33"/>
      <w:bookmarkStart w:id="1" w:name="page37"/>
      <w:bookmarkEnd w:id="0"/>
      <w:bookmarkEnd w:id="1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Anexa </w:t>
      </w:r>
      <w:r w:rsidR="00CE6A88" w:rsidRPr="00F71365">
        <w:rPr>
          <w:rFonts w:ascii="Times New Roman" w:hAnsi="Times New Roman"/>
          <w:i/>
          <w:sz w:val="24"/>
          <w:szCs w:val="24"/>
          <w:lang w:val="ro-RO"/>
        </w:rPr>
        <w:t>4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.</w:t>
      </w:r>
      <w:r w:rsidR="005B16F3"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>Exemple de tabele</w:t>
      </w:r>
      <w:r w:rsidR="00F817D3" w:rsidRPr="00F71365">
        <w:rPr>
          <w:rFonts w:ascii="Times New Roman" w:hAnsi="Times New Roman"/>
          <w:b/>
          <w:sz w:val="24"/>
          <w:szCs w:val="24"/>
          <w:lang w:val="ro-RO"/>
        </w:rPr>
        <w:t>,</w:t>
      </w:r>
      <w:r w:rsidR="000036A7" w:rsidRPr="00F71365">
        <w:rPr>
          <w:rFonts w:ascii="Times New Roman" w:hAnsi="Times New Roman"/>
          <w:b/>
          <w:sz w:val="24"/>
          <w:szCs w:val="24"/>
          <w:lang w:val="ro-RO"/>
        </w:rPr>
        <w:t xml:space="preserve"> formule</w:t>
      </w:r>
      <w:r w:rsidR="00F817D3" w:rsidRPr="00F71365">
        <w:rPr>
          <w:rFonts w:ascii="Times New Roman" w:hAnsi="Times New Roman"/>
          <w:b/>
          <w:sz w:val="24"/>
          <w:szCs w:val="24"/>
          <w:lang w:val="ro-RO"/>
        </w:rPr>
        <w:t xml:space="preserve"> și figuri</w:t>
      </w:r>
    </w:p>
    <w:p w:rsidR="005B16F3" w:rsidRPr="00F71365" w:rsidRDefault="005B16F3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01B9E" w:rsidRPr="00F71365" w:rsidRDefault="007F6D83" w:rsidP="00925645">
      <w:pPr>
        <w:spacing w:after="12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iCs/>
          <w:sz w:val="24"/>
          <w:szCs w:val="24"/>
          <w:lang w:val="ro-RO"/>
        </w:rPr>
        <w:t>Tabelul 3</w:t>
      </w:r>
      <w:r w:rsidR="00301B9E" w:rsidRPr="00F71365">
        <w:rPr>
          <w:rFonts w:ascii="Times New Roman" w:hAnsi="Times New Roman"/>
          <w:iCs/>
          <w:sz w:val="24"/>
          <w:szCs w:val="24"/>
          <w:lang w:val="ro-RO"/>
        </w:rPr>
        <w:t xml:space="preserve">3. </w:t>
      </w:r>
      <w:r w:rsidR="00227EDE" w:rsidRPr="00E07360">
        <w:rPr>
          <w:rFonts w:ascii="Times New Roman" w:hAnsi="Times New Roman"/>
          <w:b/>
          <w:sz w:val="24"/>
          <w:szCs w:val="24"/>
          <w:lang w:val="ro-RO"/>
        </w:rPr>
        <w:t>Modificările activităţii ALT, AS</w:t>
      </w:r>
      <w:r w:rsidR="00301B9E" w:rsidRPr="00E07360">
        <w:rPr>
          <w:rFonts w:ascii="Times New Roman" w:hAnsi="Times New Roman"/>
          <w:b/>
          <w:sz w:val="24"/>
          <w:szCs w:val="24"/>
          <w:lang w:val="ro-RO"/>
        </w:rPr>
        <w:t>T, PCE și a</w:t>
      </w:r>
      <w:r w:rsidR="00227EDE" w:rsidRPr="00E07360">
        <w:rPr>
          <w:rFonts w:ascii="Times New Roman" w:hAnsi="Times New Roman"/>
          <w:b/>
          <w:sz w:val="24"/>
          <w:szCs w:val="24"/>
          <w:lang w:val="ro-RO"/>
        </w:rPr>
        <w:t>le</w:t>
      </w:r>
      <w:r w:rsidR="00301B9E" w:rsidRPr="00E07360">
        <w:rPr>
          <w:rFonts w:ascii="Times New Roman" w:hAnsi="Times New Roman"/>
          <w:b/>
          <w:sz w:val="24"/>
          <w:szCs w:val="24"/>
          <w:lang w:val="ro-RO"/>
        </w:rPr>
        <w:t xml:space="preserve"> nivelului albuminei</w:t>
      </w:r>
      <w:r w:rsidR="00227EDE" w:rsidRPr="00E07360">
        <w:rPr>
          <w:rFonts w:ascii="Times New Roman" w:hAnsi="Times New Roman"/>
          <w:b/>
          <w:sz w:val="24"/>
          <w:szCs w:val="24"/>
          <w:lang w:val="ro-RO"/>
        </w:rPr>
        <w:t xml:space="preserve"> și</w:t>
      </w:r>
      <w:r w:rsidR="00301B9E" w:rsidRPr="00E07360">
        <w:rPr>
          <w:rFonts w:ascii="Times New Roman" w:hAnsi="Times New Roman"/>
          <w:b/>
          <w:sz w:val="24"/>
          <w:szCs w:val="24"/>
          <w:lang w:val="ro-RO"/>
        </w:rPr>
        <w:t xml:space="preserve">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3189"/>
        <w:gridCol w:w="2802"/>
      </w:tblGrid>
      <w:tr w:rsidR="00925645" w:rsidRPr="00F71365" w:rsidTr="00925645">
        <w:tc>
          <w:tcPr>
            <w:tcW w:w="2797" w:type="dxa"/>
            <w:vMerge w:val="restart"/>
            <w:vAlign w:val="center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925645" w:rsidRPr="00F71365" w:rsidTr="00301B9E">
        <w:tc>
          <w:tcPr>
            <w:tcW w:w="2797" w:type="dxa"/>
            <w:vMerge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925645" w:rsidRPr="00F71365" w:rsidRDefault="00925645" w:rsidP="004D76C8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Martor</w:t>
            </w:r>
          </w:p>
        </w:tc>
        <w:tc>
          <w:tcPr>
            <w:tcW w:w="2802" w:type="dxa"/>
          </w:tcPr>
          <w:p w:rsidR="00925645" w:rsidRPr="00F71365" w:rsidRDefault="00925645" w:rsidP="004D76C8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HT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ALT, UI/g </w:t>
            </w:r>
            <w:proofErr w:type="spellStart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0,426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0,468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0,03, 110%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AST, UI/g </w:t>
            </w:r>
            <w:proofErr w:type="spellStart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0,226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0,236 </w:t>
            </w:r>
            <w:bookmarkStart w:id="2" w:name="OLE_LINK3"/>
            <w:bookmarkStart w:id="3" w:name="OLE_LINK4"/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bookmarkEnd w:id="2"/>
            <w:bookmarkEnd w:id="3"/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0,02, 105%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PCE, </w:t>
            </w:r>
            <w:proofErr w:type="spellStart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nmol</w:t>
            </w:r>
            <w:proofErr w:type="spellEnd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</w:t>
            </w:r>
            <w:proofErr w:type="spellStart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s.g</w:t>
            </w:r>
            <w:proofErr w:type="spellEnd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7136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681,0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0,04, 100%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547,8 </w:t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B1"/>
            </w: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0,04*, 80%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Proteina totală, g/L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36,49 ± 0,80,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31,03 ± 0,34***, 85%</w:t>
            </w:r>
          </w:p>
        </w:tc>
      </w:tr>
      <w:tr w:rsidR="00925645" w:rsidRPr="00F71365" w:rsidTr="004D76C8">
        <w:tc>
          <w:tcPr>
            <w:tcW w:w="2797" w:type="dxa"/>
            <w:vAlign w:val="center"/>
          </w:tcPr>
          <w:p w:rsidR="00925645" w:rsidRPr="00F71365" w:rsidRDefault="00925645" w:rsidP="004D76C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Albumina, g/L</w:t>
            </w:r>
          </w:p>
        </w:tc>
        <w:tc>
          <w:tcPr>
            <w:tcW w:w="3189" w:type="dxa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:rsidR="00925645" w:rsidRPr="00F71365" w:rsidRDefault="00925645" w:rsidP="00925645">
            <w:pPr>
              <w:pStyle w:val="21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1365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:rsidR="004D76C8" w:rsidRPr="00F71365" w:rsidRDefault="004D76C8" w:rsidP="004D76C8">
      <w:pPr>
        <w:shd w:val="clear" w:color="auto" w:fill="FFFFFF"/>
        <w:spacing w:before="120" w:after="0" w:line="240" w:lineRule="auto"/>
        <w:ind w:left="851" w:right="278" w:hanging="567"/>
        <w:jc w:val="both"/>
        <w:rPr>
          <w:rFonts w:ascii="Times New Roman" w:hAnsi="Times New Roman"/>
          <w:i/>
          <w:iCs/>
          <w:szCs w:val="24"/>
          <w:lang w:val="ro-RO"/>
        </w:rPr>
      </w:pPr>
      <w:r w:rsidRPr="00F71365">
        <w:rPr>
          <w:rFonts w:ascii="Times New Roman" w:hAnsi="Times New Roman"/>
          <w:b/>
          <w:i/>
          <w:iCs/>
          <w:szCs w:val="24"/>
          <w:lang w:val="ro-RO"/>
        </w:rPr>
        <w:t>Notă</w:t>
      </w:r>
      <w:r w:rsidR="00301B9E" w:rsidRPr="00F71365">
        <w:rPr>
          <w:rFonts w:ascii="Times New Roman" w:hAnsi="Times New Roman"/>
          <w:b/>
          <w:i/>
          <w:iCs/>
          <w:szCs w:val="24"/>
          <w:lang w:val="ro-RO"/>
        </w:rPr>
        <w:t>:</w:t>
      </w:r>
      <w:r w:rsidR="00301B9E" w:rsidRPr="00F71365">
        <w:rPr>
          <w:rFonts w:ascii="Times New Roman" w:hAnsi="Times New Roman"/>
          <w:i/>
          <w:iCs/>
          <w:szCs w:val="24"/>
          <w:lang w:val="ro-RO"/>
        </w:rPr>
        <w:t xml:space="preserve"> ALT – </w:t>
      </w:r>
      <w:proofErr w:type="spellStart"/>
      <w:r w:rsidR="00301B9E" w:rsidRPr="00F71365">
        <w:rPr>
          <w:rFonts w:ascii="Times New Roman" w:hAnsi="Times New Roman"/>
          <w:i/>
          <w:iCs/>
          <w:szCs w:val="24"/>
          <w:lang w:val="ro-RO"/>
        </w:rPr>
        <w:t>alaninaminotransferaza</w:t>
      </w:r>
      <w:proofErr w:type="spellEnd"/>
      <w:r w:rsidR="00301B9E" w:rsidRPr="00F71365">
        <w:rPr>
          <w:rFonts w:ascii="Times New Roman" w:hAnsi="Times New Roman"/>
          <w:i/>
          <w:iCs/>
          <w:szCs w:val="24"/>
          <w:lang w:val="ro-RO"/>
        </w:rPr>
        <w:t xml:space="preserve">; AST – </w:t>
      </w:r>
      <w:proofErr w:type="spellStart"/>
      <w:r w:rsidR="00301B9E" w:rsidRPr="00F71365">
        <w:rPr>
          <w:rFonts w:ascii="Times New Roman" w:hAnsi="Times New Roman"/>
          <w:i/>
          <w:iCs/>
          <w:szCs w:val="24"/>
          <w:lang w:val="ro-RO"/>
        </w:rPr>
        <w:t>aspartataminotransferaza</w:t>
      </w:r>
      <w:proofErr w:type="spellEnd"/>
      <w:r w:rsidR="00301B9E" w:rsidRPr="00F71365">
        <w:rPr>
          <w:rFonts w:ascii="Times New Roman" w:hAnsi="Times New Roman"/>
          <w:i/>
          <w:iCs/>
          <w:szCs w:val="24"/>
          <w:lang w:val="ro-RO"/>
        </w:rPr>
        <w:t xml:space="preserve">; PCE – </w:t>
      </w:r>
      <w:proofErr w:type="spellStart"/>
      <w:r w:rsidR="00301B9E" w:rsidRPr="00F71365">
        <w:rPr>
          <w:rFonts w:ascii="Times New Roman" w:hAnsi="Times New Roman"/>
          <w:i/>
          <w:iCs/>
          <w:szCs w:val="24"/>
          <w:lang w:val="ro-RO"/>
        </w:rPr>
        <w:t>pseudocolin-esteraza</w:t>
      </w:r>
      <w:proofErr w:type="spellEnd"/>
      <w:r w:rsidR="00301B9E" w:rsidRPr="00F71365">
        <w:rPr>
          <w:rFonts w:ascii="Times New Roman" w:hAnsi="Times New Roman"/>
          <w:i/>
          <w:iCs/>
          <w:szCs w:val="24"/>
          <w:lang w:val="ro-RO"/>
        </w:rPr>
        <w:t>; HT – hepatopatie toxică indusă de etilenglicol.</w:t>
      </w:r>
      <w:r w:rsidR="00925645" w:rsidRPr="00F71365">
        <w:rPr>
          <w:rFonts w:ascii="Times New Roman" w:hAnsi="Times New Roman"/>
          <w:i/>
          <w:iCs/>
          <w:szCs w:val="24"/>
          <w:lang w:val="ro-RO"/>
        </w:rPr>
        <w:t xml:space="preserve"> </w:t>
      </w:r>
    </w:p>
    <w:p w:rsidR="00301B9E" w:rsidRPr="00F71365" w:rsidRDefault="00301B9E" w:rsidP="004D76C8">
      <w:pPr>
        <w:shd w:val="clear" w:color="auto" w:fill="FFFFFF"/>
        <w:spacing w:after="120" w:line="240" w:lineRule="auto"/>
        <w:ind w:left="851" w:right="278"/>
        <w:jc w:val="both"/>
        <w:rPr>
          <w:rFonts w:ascii="Times New Roman" w:hAnsi="Times New Roman"/>
          <w:i/>
          <w:spacing w:val="-2"/>
          <w:szCs w:val="24"/>
          <w:lang w:val="ro-RO"/>
        </w:rPr>
      </w:pPr>
      <w:r w:rsidRPr="00F71365">
        <w:rPr>
          <w:rFonts w:ascii="Times New Roman" w:hAnsi="Times New Roman"/>
          <w:i/>
          <w:spacing w:val="-2"/>
          <w:szCs w:val="24"/>
          <w:lang w:val="ro-RO"/>
        </w:rPr>
        <w:t>Veridicitatea diferenţelor comparativ cu lotul martor: *– p&lt;0,05; **–p&lt;0,01; ***– p&lt;0,001.</w:t>
      </w:r>
    </w:p>
    <w:p w:rsidR="00F817D3" w:rsidRPr="00F71365" w:rsidRDefault="00F817D3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817D3" w:rsidRPr="00F71365" w:rsidRDefault="00DE3441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Formula</w:t>
      </w:r>
    </w:p>
    <w:p w:rsidR="00460202" w:rsidRDefault="00F817D3" w:rsidP="00CE6A8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Cambria Math" w:hAnsi="Cambria Math"/>
          <w:b/>
          <w:sz w:val="24"/>
          <w:szCs w:val="24"/>
          <w:lang w:val="ro-RO"/>
        </w:rPr>
        <w:t>𝑛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 xml:space="preserve"> = </w:t>
      </w:r>
      <w:r w:rsidRPr="00F71365">
        <w:rPr>
          <w:rFonts w:ascii="Cambria Math" w:hAnsi="Cambria Math"/>
          <w:b/>
          <w:sz w:val="24"/>
          <w:szCs w:val="24"/>
          <w:lang w:val="ro-RO"/>
        </w:rPr>
        <w:t>𝑡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 xml:space="preserve"> 2 x</w:t>
      </w:r>
      <w:r w:rsidRPr="00F71365">
        <w:rPr>
          <w:rFonts w:ascii="Cambria Math" w:hAnsi="Cambria Math"/>
          <w:b/>
          <w:sz w:val="24"/>
          <w:szCs w:val="24"/>
          <w:lang w:val="ro-RO"/>
        </w:rPr>
        <w:t>𝑝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>(1−</w:t>
      </w:r>
      <w:r w:rsidRPr="00F71365">
        <w:rPr>
          <w:rFonts w:ascii="Cambria Math" w:hAnsi="Cambria Math"/>
          <w:b/>
          <w:sz w:val="24"/>
          <w:szCs w:val="24"/>
          <w:lang w:val="ro-RO"/>
        </w:rPr>
        <w:t>𝑝</w:t>
      </w:r>
      <w:r w:rsidRPr="00F71365">
        <w:rPr>
          <w:rFonts w:ascii="Times New Roman" w:hAnsi="Times New Roman"/>
          <w:b/>
          <w:sz w:val="24"/>
          <w:szCs w:val="24"/>
          <w:lang w:val="ro-RO"/>
        </w:rPr>
        <w:t>) |∆2</w:t>
      </w:r>
      <w:r w:rsidR="008635CC" w:rsidRPr="00F713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CE6A88" w:rsidRPr="00F71365">
        <w:rPr>
          <w:rFonts w:ascii="Times New Roman" w:hAnsi="Times New Roman"/>
          <w:sz w:val="24"/>
          <w:szCs w:val="24"/>
          <w:lang w:val="ro-RO"/>
        </w:rPr>
        <w:tab/>
      </w:r>
      <w:r w:rsidR="007F6D83" w:rsidRPr="00F71365">
        <w:rPr>
          <w:rFonts w:ascii="Times New Roman" w:hAnsi="Times New Roman"/>
          <w:sz w:val="24"/>
          <w:szCs w:val="24"/>
          <w:lang w:val="ro-RO"/>
        </w:rPr>
        <w:t>(4</w:t>
      </w:r>
      <w:r w:rsidRPr="00F71365">
        <w:rPr>
          <w:rFonts w:ascii="Times New Roman" w:hAnsi="Times New Roman"/>
          <w:sz w:val="24"/>
          <w:szCs w:val="24"/>
          <w:lang w:val="ro-RO"/>
        </w:rPr>
        <w:t>)</w:t>
      </w:r>
    </w:p>
    <w:p w:rsidR="00FF297F" w:rsidRPr="00F71365" w:rsidRDefault="00FF297F" w:rsidP="00CE6A8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04338" w:rsidRPr="00F71365" w:rsidRDefault="0040433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817D3" w:rsidRPr="00F71365" w:rsidRDefault="00E51D58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noProof/>
          <w:sz w:val="24"/>
          <w:szCs w:val="24"/>
          <w:lang w:val="ro-RO" w:eastAsia="ru-RU"/>
        </w:rPr>
      </w:pPr>
      <w:r w:rsidRPr="00F7136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8525" cy="2675519"/>
            <wp:effectExtent l="19050" t="0" r="14125" b="0"/>
            <wp:docPr id="1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6F3" w:rsidRPr="00F71365" w:rsidRDefault="005B16F3" w:rsidP="003D2AFF">
      <w:pPr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817D3" w:rsidRPr="00F71365" w:rsidRDefault="00F817D3" w:rsidP="003D2AFF">
      <w:pPr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Fig</w:t>
      </w:r>
      <w:r w:rsidR="005B16F3" w:rsidRPr="00F71365">
        <w:rPr>
          <w:rFonts w:ascii="Times New Roman" w:hAnsi="Times New Roman"/>
          <w:sz w:val="24"/>
          <w:szCs w:val="24"/>
          <w:lang w:val="ro-RO"/>
        </w:rPr>
        <w:t xml:space="preserve">ura </w:t>
      </w:r>
      <w:r w:rsidR="007F6D83" w:rsidRPr="00F71365">
        <w:rPr>
          <w:rFonts w:ascii="Times New Roman" w:hAnsi="Times New Roman"/>
          <w:sz w:val="24"/>
          <w:szCs w:val="24"/>
          <w:lang w:val="ro-RO"/>
        </w:rPr>
        <w:t>2</w:t>
      </w:r>
      <w:r w:rsidR="00146009" w:rsidRPr="00F71365"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1C799A">
        <w:rPr>
          <w:rFonts w:ascii="Times New Roman" w:hAnsi="Times New Roman"/>
          <w:b/>
          <w:sz w:val="24"/>
          <w:szCs w:val="24"/>
          <w:lang w:val="ro-RO"/>
        </w:rPr>
        <w:t>Rata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07360">
        <w:rPr>
          <w:rFonts w:ascii="Times New Roman" w:hAnsi="Times New Roman"/>
          <w:b/>
          <w:sz w:val="24"/>
          <w:szCs w:val="24"/>
          <w:lang w:val="ro-RO"/>
        </w:rPr>
        <w:t xml:space="preserve">mortalității materne </w:t>
      </w:r>
      <w:r w:rsidRPr="00E07360">
        <w:rPr>
          <w:rFonts w:ascii="Times New Roman" w:hAnsi="Times New Roman"/>
          <w:b/>
          <w:bCs/>
          <w:sz w:val="24"/>
          <w:szCs w:val="24"/>
          <w:lang w:val="ro-RO" w:eastAsia="ru-RU"/>
        </w:rPr>
        <w:t>la 100 000 copii născuți vii în anii 1995-2015</w:t>
      </w:r>
      <w:r w:rsidR="009F7EB7" w:rsidRPr="00F71365">
        <w:rPr>
          <w:rFonts w:ascii="Times New Roman" w:hAnsi="Times New Roman"/>
          <w:bCs/>
          <w:sz w:val="24"/>
          <w:szCs w:val="24"/>
          <w:lang w:val="ro-RO" w:eastAsia="ru-RU"/>
        </w:rPr>
        <w:t xml:space="preserve"> [numărul referinței bibliografie].</w:t>
      </w:r>
    </w:p>
    <w:p w:rsidR="00460202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D479F" w:rsidRDefault="004D479F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D479F" w:rsidRDefault="004D479F" w:rsidP="00F62BDD">
      <w:pPr>
        <w:spacing w:after="120" w:line="240" w:lineRule="auto"/>
        <w:jc w:val="center"/>
      </w:pPr>
      <w:r w:rsidRPr="00424B0D">
        <w:rPr>
          <w:noProof/>
          <w:color w:val="8A001A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79F" w:rsidRPr="004D479F" w:rsidRDefault="004D479F" w:rsidP="00F62BDD">
      <w:pPr>
        <w:adjustRightInd w:val="0"/>
        <w:snapToGrid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479F">
        <w:rPr>
          <w:rFonts w:ascii="Times New Roman" w:hAnsi="Times New Roman"/>
          <w:sz w:val="24"/>
          <w:szCs w:val="24"/>
          <w:lang w:val="ro-RO"/>
        </w:rPr>
        <w:t>Figura 23.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 xml:space="preserve"> Activitatea </w:t>
      </w:r>
      <w:proofErr w:type="spellStart"/>
      <w:r w:rsidRPr="004D479F">
        <w:rPr>
          <w:rFonts w:ascii="Times New Roman" w:hAnsi="Times New Roman"/>
          <w:b/>
          <w:sz w:val="24"/>
          <w:szCs w:val="24"/>
          <w:lang w:val="ro-RO"/>
        </w:rPr>
        <w:t>transaminazelor</w:t>
      </w:r>
      <w:proofErr w:type="spellEnd"/>
      <w:r w:rsidRPr="004D479F">
        <w:rPr>
          <w:rFonts w:ascii="Times New Roman" w:hAnsi="Times New Roman"/>
          <w:b/>
          <w:sz w:val="24"/>
          <w:szCs w:val="24"/>
          <w:lang w:val="ro-RO"/>
        </w:rPr>
        <w:t xml:space="preserve"> în HC, în alte forme ale BCDF şi în lotul-martor</w:t>
      </w:r>
    </w:p>
    <w:p w:rsidR="00F62BDD" w:rsidRPr="00F65AA8" w:rsidRDefault="00F62BDD" w:rsidP="00F62BDD">
      <w:pPr>
        <w:spacing w:after="120" w:line="240" w:lineRule="auto"/>
        <w:jc w:val="center"/>
        <w:rPr>
          <w:rFonts w:ascii="Times New Roman" w:hAnsi="Times New Roman"/>
          <w:lang w:val="ro-RO"/>
        </w:rPr>
      </w:pPr>
      <w:r w:rsidRPr="00F65AA8">
        <w:rPr>
          <w:rFonts w:ascii="Times New Roman" w:hAnsi="Times New Roman"/>
          <w:lang w:val="ro-RO"/>
        </w:rPr>
        <w:t>Notă. *&lt;0,05, **&lt;0,01 – diferenţa dintre indicii ALT, AST în HC în raport cu alte BCDF; p&lt;0,05, p&lt;0,01 – diferenţa dintre indicii ALT, AST în HC şi alte forme ale BCDF în raport cu lotul-martor</w:t>
      </w:r>
    </w:p>
    <w:p w:rsidR="004D479F" w:rsidRPr="00F65AA8" w:rsidRDefault="004D479F" w:rsidP="004D479F">
      <w:pPr>
        <w:spacing w:after="0" w:line="240" w:lineRule="auto"/>
        <w:jc w:val="center"/>
        <w:rPr>
          <w:lang w:val="ro-RO"/>
        </w:rPr>
      </w:pPr>
    </w:p>
    <w:p w:rsidR="00043CF9" w:rsidRDefault="001D0EC6" w:rsidP="00FD21B5">
      <w:pPr>
        <w:spacing w:after="120" w:line="240" w:lineRule="auto"/>
        <w:jc w:val="center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8.95pt;margin-top:205.8pt;width:66pt;height:20.25pt;z-index:251666432" fillcolor="white [3212]" stroked="f">
            <v:textbox>
              <w:txbxContent>
                <w:p w:rsidR="00FF297F" w:rsidRPr="00FF297F" w:rsidRDefault="00FF297F" w:rsidP="00FD21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  <w:t>1C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3" type="#_x0000_t202" style="position:absolute;left:0;text-align:left;margin-left:257.7pt;margin-top:205.8pt;width:66pt;height:20.25pt;z-index:251665408" fillcolor="white [3212]" stroked="f">
            <v:textbox>
              <w:txbxContent>
                <w:p w:rsidR="00FF297F" w:rsidRPr="00FF297F" w:rsidRDefault="00FF297F" w:rsidP="00FD21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  <w:t>1B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2" type="#_x0000_t202" style="position:absolute;left:0;text-align:left;margin-left:161.7pt;margin-top:205.8pt;width:66pt;height:20.25pt;z-index:251664384" fillcolor="white [3212]" stroked="f">
            <v:textbox>
              <w:txbxContent>
                <w:p w:rsidR="00FF297F" w:rsidRPr="00FF297F" w:rsidRDefault="00FF297F" w:rsidP="00FD21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  <w:t>1A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1" type="#_x0000_t202" style="position:absolute;left:0;text-align:left;margin-left:69.45pt;margin-top:205.8pt;width:66pt;height:20.25pt;z-index:251663360" fillcolor="white [3212]" stroked="f">
            <v:textbox>
              <w:txbxContent>
                <w:p w:rsidR="00FF297F" w:rsidRPr="00FF297F" w:rsidRDefault="00FF297F" w:rsidP="00FD21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z w:val="24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0" type="#_x0000_t202" style="position:absolute;left:0;text-align:left;margin-left:269.7pt;margin-top:1.8pt;width:168.75pt;height:34.5pt;z-index:251662336">
            <v:textbox>
              <w:txbxContent>
                <w:p w:rsidR="00FD21B5" w:rsidRPr="00FD21B5" w:rsidRDefault="00FD21B5" w:rsidP="00FD21B5">
                  <w:p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 w:rsidRPr="00FD21B5">
                    <w:rPr>
                      <w:rFonts w:ascii="Times New Roman" w:hAnsi="Times New Roman"/>
                      <w:lang w:val="fr-FR"/>
                    </w:rPr>
                    <w:t>3 luni: p &lt; 0.001, r</w:t>
                  </w:r>
                  <w:r w:rsidRPr="00FD21B5">
                    <w:rPr>
                      <w:rFonts w:ascii="Times New Roman" w:hAnsi="Times New Roman"/>
                      <w:vertAlign w:val="subscript"/>
                      <w:lang w:val="fr-FR"/>
                    </w:rPr>
                    <w:t>xy</w:t>
                  </w:r>
                  <w:r w:rsidRPr="00FD21B5">
                    <w:rPr>
                      <w:rFonts w:ascii="Times New Roman" w:hAnsi="Times New Roman"/>
                      <w:lang w:val="fr-FR"/>
                    </w:rPr>
                    <w:t xml:space="preserve"> = - 0,923</w:t>
                  </w:r>
                </w:p>
                <w:p w:rsidR="00FD21B5" w:rsidRPr="00FD21B5" w:rsidRDefault="00FD21B5" w:rsidP="00FD21B5">
                  <w:p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12</w:t>
                  </w:r>
                  <w:r w:rsidRPr="00FD21B5">
                    <w:rPr>
                      <w:rFonts w:ascii="Times New Roman" w:hAnsi="Times New Roman"/>
                      <w:lang w:val="fr-FR"/>
                    </w:rPr>
                    <w:t xml:space="preserve"> luni: p &lt; 0.001, r</w:t>
                  </w:r>
                  <w:r w:rsidRPr="00FD21B5">
                    <w:rPr>
                      <w:rFonts w:ascii="Times New Roman" w:hAnsi="Times New Roman"/>
                      <w:vertAlign w:val="subscript"/>
                      <w:lang w:val="fr-FR"/>
                    </w:rPr>
                    <w:t>xy</w:t>
                  </w:r>
                  <w:r w:rsidRPr="00FD21B5">
                    <w:rPr>
                      <w:rFonts w:ascii="Times New Roman" w:hAnsi="Times New Roman"/>
                      <w:lang w:val="fr-FR"/>
                    </w:rPr>
                    <w:t xml:space="preserve"> = - 0,</w:t>
                  </w:r>
                  <w:r>
                    <w:rPr>
                      <w:rFonts w:ascii="Times New Roman" w:hAnsi="Times New Roman"/>
                      <w:lang w:val="fr-FR"/>
                    </w:rPr>
                    <w:t>895</w:t>
                  </w:r>
                </w:p>
                <w:p w:rsidR="00FD21B5" w:rsidRPr="00FD21B5" w:rsidRDefault="00FD21B5" w:rsidP="00FD21B5">
                  <w:p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9" type="#_x0000_t202" style="position:absolute;left:0;text-align:left;margin-left:352.2pt;margin-top:72.3pt;width:72.75pt;height:20.25pt;z-index:251661312">
            <v:textbox>
              <w:txbxContent>
                <w:p w:rsidR="00FD21B5" w:rsidRPr="00FD21B5" w:rsidRDefault="00FD21B5" w:rsidP="00FD21B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D21B5">
                    <w:rPr>
                      <w:rFonts w:ascii="Times New Roman" w:hAnsi="Times New Roman"/>
                      <w:sz w:val="20"/>
                    </w:rPr>
                    <w:t xml:space="preserve">&gt; </w:t>
                  </w:r>
                  <w:proofErr w:type="gramStart"/>
                  <w:r w:rsidRPr="00FD21B5">
                    <w:rPr>
                      <w:rFonts w:ascii="Times New Roman" w:hAnsi="Times New Roman"/>
                      <w:sz w:val="20"/>
                    </w:rPr>
                    <w:t>cu</w:t>
                  </w:r>
                  <w:proofErr w:type="gramEnd"/>
                  <w:r w:rsidRPr="00FD21B5">
                    <w:rPr>
                      <w:rFonts w:ascii="Times New Roman" w:hAnsi="Times New Roman"/>
                      <w:sz w:val="20"/>
                    </w:rPr>
                    <w:t xml:space="preserve"> 22,81%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8" type="#_x0000_t202" style="position:absolute;left:0;text-align:left;margin-left:257.7pt;margin-top:43.05pt;width:66pt;height:18pt;z-index:251660288">
            <v:textbox>
              <w:txbxContent>
                <w:p w:rsidR="00FD21B5" w:rsidRPr="00FD21B5" w:rsidRDefault="00FD21B5" w:rsidP="00FD21B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D21B5">
                    <w:rPr>
                      <w:rFonts w:ascii="Times New Roman" w:hAnsi="Times New Roman"/>
                      <w:sz w:val="20"/>
                    </w:rPr>
                    <w:t xml:space="preserve">&gt; </w:t>
                  </w:r>
                  <w:proofErr w:type="gramStart"/>
                  <w:r w:rsidRPr="00FD21B5">
                    <w:rPr>
                      <w:rFonts w:ascii="Times New Roman" w:hAnsi="Times New Roman"/>
                      <w:sz w:val="20"/>
                    </w:rPr>
                    <w:t>cu</w:t>
                  </w:r>
                  <w:proofErr w:type="gramEnd"/>
                  <w:r w:rsidRPr="00FD21B5">
                    <w:rPr>
                      <w:rFonts w:ascii="Times New Roman" w:hAnsi="Times New Roman"/>
                      <w:sz w:val="20"/>
                    </w:rPr>
                    <w:t xml:space="preserve"> 8,37%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left:0;text-align:left;margin-left:161.7pt;margin-top:26.55pt;width:66pt;height:20.25pt;z-index:251659264">
            <v:textbox>
              <w:txbxContent>
                <w:p w:rsidR="00FD21B5" w:rsidRPr="00FD21B5" w:rsidRDefault="00FD21B5" w:rsidP="00FD21B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D21B5">
                    <w:rPr>
                      <w:rFonts w:ascii="Times New Roman" w:hAnsi="Times New Roman"/>
                      <w:sz w:val="20"/>
                    </w:rPr>
                    <w:t xml:space="preserve">&gt; </w:t>
                  </w:r>
                  <w:proofErr w:type="gramStart"/>
                  <w:r w:rsidRPr="00FD21B5">
                    <w:rPr>
                      <w:rFonts w:ascii="Times New Roman" w:hAnsi="Times New Roman"/>
                      <w:sz w:val="20"/>
                    </w:rPr>
                    <w:t>cu</w:t>
                  </w:r>
                  <w:proofErr w:type="gramEnd"/>
                  <w:r w:rsidRPr="00FD21B5">
                    <w:rPr>
                      <w:rFonts w:ascii="Times New Roman" w:hAnsi="Times New Roman"/>
                      <w:sz w:val="20"/>
                    </w:rPr>
                    <w:t xml:space="preserve"> 3,85%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6" type="#_x0000_t202" style="position:absolute;left:0;text-align:left;margin-left:63.45pt;margin-top:22.8pt;width:66pt;height:20.25pt;z-index:251658240">
            <v:textbox>
              <w:txbxContent>
                <w:p w:rsidR="00FD21B5" w:rsidRPr="00FD21B5" w:rsidRDefault="00FD21B5" w:rsidP="00FD21B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D21B5">
                    <w:rPr>
                      <w:rFonts w:ascii="Times New Roman" w:hAnsi="Times New Roman"/>
                      <w:sz w:val="20"/>
                    </w:rPr>
                    <w:t xml:space="preserve">&gt; </w:t>
                  </w:r>
                  <w:proofErr w:type="gramStart"/>
                  <w:r w:rsidRPr="00FD21B5">
                    <w:rPr>
                      <w:rFonts w:ascii="Times New Roman" w:hAnsi="Times New Roman"/>
                      <w:sz w:val="20"/>
                    </w:rPr>
                    <w:t>cu</w:t>
                  </w:r>
                  <w:proofErr w:type="gramEnd"/>
                  <w:r w:rsidRPr="00FD21B5">
                    <w:rPr>
                      <w:rFonts w:ascii="Times New Roman" w:hAnsi="Times New Roman"/>
                      <w:sz w:val="20"/>
                    </w:rPr>
                    <w:t xml:space="preserve"> 1,47%</w:t>
                  </w:r>
                </w:p>
              </w:txbxContent>
            </v:textbox>
          </v:shape>
        </w:pict>
      </w:r>
      <w:r w:rsidR="00043CF9"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3CF9" w:rsidRPr="00FD21B5" w:rsidRDefault="00FD21B5" w:rsidP="00FD21B5">
      <w:pPr>
        <w:adjustRightInd w:val="0"/>
        <w:snapToGrid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D21B5">
        <w:rPr>
          <w:rFonts w:ascii="Times New Roman" w:hAnsi="Times New Roman"/>
          <w:sz w:val="24"/>
          <w:szCs w:val="24"/>
          <w:lang w:val="ro-RO"/>
        </w:rPr>
        <w:t>Figura 25.</w:t>
      </w:r>
      <w:r w:rsidRPr="00FD21B5">
        <w:rPr>
          <w:rFonts w:ascii="Times New Roman" w:hAnsi="Times New Roman"/>
          <w:b/>
          <w:sz w:val="24"/>
          <w:szCs w:val="24"/>
          <w:lang w:val="ro-RO"/>
        </w:rPr>
        <w:t xml:space="preserve"> Creşterea nivelurilor serice, în valori relative, ale </w:t>
      </w:r>
      <w:r w:rsidR="00FF297F" w:rsidRPr="00FF297F">
        <w:rPr>
          <w:rFonts w:ascii="Times New Roman" w:hAnsi="Times New Roman"/>
          <w:b/>
          <w:sz w:val="24"/>
          <w:szCs w:val="24"/>
          <w:lang w:val="ro-RO"/>
        </w:rPr>
        <w:t>factor</w:t>
      </w:r>
      <w:r w:rsidR="00FF297F">
        <w:rPr>
          <w:rFonts w:ascii="Times New Roman" w:hAnsi="Times New Roman"/>
          <w:b/>
          <w:sz w:val="24"/>
          <w:szCs w:val="24"/>
          <w:lang w:val="ro-RO"/>
        </w:rPr>
        <w:t>ului</w:t>
      </w:r>
      <w:r w:rsidR="00FF297F" w:rsidRPr="00FF297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F297F" w:rsidRPr="00FF297F">
        <w:rPr>
          <w:rFonts w:ascii="Times New Roman" w:hAnsi="Times New Roman"/>
          <w:b/>
          <w:sz w:val="24"/>
          <w:szCs w:val="24"/>
          <w:lang w:val="ro-RO"/>
        </w:rPr>
        <w:t>neurotrofic</w:t>
      </w:r>
      <w:proofErr w:type="spellEnd"/>
      <w:r w:rsidR="00FF297F" w:rsidRPr="00FF297F">
        <w:rPr>
          <w:rFonts w:ascii="Times New Roman" w:hAnsi="Times New Roman"/>
          <w:b/>
          <w:sz w:val="24"/>
          <w:szCs w:val="24"/>
          <w:lang w:val="ro-RO"/>
        </w:rPr>
        <w:t xml:space="preserve"> obţinut din creier</w:t>
      </w:r>
      <w:r w:rsidR="00FF297F" w:rsidRPr="00FF297F">
        <w:rPr>
          <w:lang w:val="fr-FR"/>
        </w:rPr>
        <w:t xml:space="preserve"> </w:t>
      </w:r>
      <w:r w:rsidRPr="00FD21B5">
        <w:rPr>
          <w:rFonts w:ascii="Times New Roman" w:hAnsi="Times New Roman"/>
          <w:b/>
          <w:sz w:val="24"/>
          <w:szCs w:val="24"/>
          <w:lang w:val="ro-RO"/>
        </w:rPr>
        <w:t>(</w:t>
      </w:r>
      <w:proofErr w:type="spellStart"/>
      <w:r w:rsidRPr="00FD21B5">
        <w:rPr>
          <w:rFonts w:ascii="Times New Roman" w:hAnsi="Times New Roman"/>
          <w:b/>
          <w:sz w:val="24"/>
          <w:szCs w:val="24"/>
          <w:lang w:val="ro-RO"/>
        </w:rPr>
        <w:t>pg</w:t>
      </w:r>
      <w:proofErr w:type="spellEnd"/>
      <w:r w:rsidRPr="00FD21B5">
        <w:rPr>
          <w:rFonts w:ascii="Times New Roman" w:hAnsi="Times New Roman"/>
          <w:b/>
          <w:sz w:val="24"/>
          <w:szCs w:val="24"/>
          <w:lang w:val="ro-RO"/>
        </w:rPr>
        <w:t>/</w:t>
      </w:r>
      <w:proofErr w:type="spellStart"/>
      <w:r w:rsidRPr="00FD21B5">
        <w:rPr>
          <w:rFonts w:ascii="Times New Roman" w:hAnsi="Times New Roman"/>
          <w:b/>
          <w:sz w:val="24"/>
          <w:szCs w:val="24"/>
          <w:lang w:val="ro-RO"/>
        </w:rPr>
        <w:t>mL</w:t>
      </w:r>
      <w:proofErr w:type="spellEnd"/>
      <w:r w:rsidRPr="00FD21B5">
        <w:rPr>
          <w:rFonts w:ascii="Times New Roman" w:hAnsi="Times New Roman"/>
          <w:b/>
          <w:sz w:val="24"/>
          <w:szCs w:val="24"/>
          <w:lang w:val="ro-RO"/>
        </w:rPr>
        <w:t>) la 12 luni, comparativ cu 3 luni şi în comparaţie cu L</w:t>
      </w:r>
      <w:r w:rsidRPr="00FD21B5">
        <w:rPr>
          <w:rFonts w:ascii="Times New Roman" w:hAnsi="Times New Roman"/>
          <w:b/>
          <w:sz w:val="24"/>
          <w:szCs w:val="24"/>
          <w:vertAlign w:val="subscript"/>
          <w:lang w:val="ro-RO"/>
        </w:rPr>
        <w:t>0</w:t>
      </w:r>
      <w:r w:rsidRPr="00FD21B5">
        <w:rPr>
          <w:rFonts w:ascii="Times New Roman" w:hAnsi="Times New Roman"/>
          <w:b/>
          <w:sz w:val="24"/>
          <w:szCs w:val="24"/>
          <w:lang w:val="ro-RO"/>
        </w:rPr>
        <w:t xml:space="preserve"> (n=100, %)</w:t>
      </w:r>
    </w:p>
    <w:p w:rsidR="004D479F" w:rsidRDefault="004D479F" w:rsidP="00F62BDD">
      <w:pPr>
        <w:spacing w:before="120" w:after="0" w:line="240" w:lineRule="auto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479F" w:rsidRPr="004D479F" w:rsidRDefault="004D479F" w:rsidP="004D479F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D479F" w:rsidRPr="004D479F" w:rsidRDefault="004D479F" w:rsidP="004D479F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479F">
        <w:rPr>
          <w:rFonts w:ascii="Times New Roman" w:hAnsi="Times New Roman"/>
          <w:sz w:val="24"/>
          <w:szCs w:val="24"/>
          <w:lang w:val="ro-RO"/>
        </w:rPr>
        <w:t>Figura 26.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>F</w:t>
      </w:r>
      <w:r w:rsidR="00F62BDD" w:rsidRPr="004D479F">
        <w:rPr>
          <w:rFonts w:ascii="Times New Roman" w:hAnsi="Times New Roman"/>
          <w:b/>
          <w:sz w:val="24"/>
          <w:szCs w:val="24"/>
          <w:lang w:val="ro-RO"/>
        </w:rPr>
        <w:t>actorii de risc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 xml:space="preserve"> a h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>epatit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 xml:space="preserve">ei </w:t>
      </w:r>
      <w:r w:rsidRPr="004D479F">
        <w:rPr>
          <w:rFonts w:ascii="Times New Roman" w:hAnsi="Times New Roman"/>
          <w:b/>
          <w:sz w:val="24"/>
          <w:szCs w:val="24"/>
          <w:lang w:val="ro-RO"/>
        </w:rPr>
        <w:t>cronic</w:t>
      </w:r>
      <w:r w:rsidR="00F62BDD">
        <w:rPr>
          <w:rFonts w:ascii="Times New Roman" w:hAnsi="Times New Roman"/>
          <w:b/>
          <w:sz w:val="24"/>
          <w:szCs w:val="24"/>
          <w:lang w:val="ro-RO"/>
        </w:rPr>
        <w:t>e</w:t>
      </w:r>
      <w:r w:rsidR="00A2453F">
        <w:rPr>
          <w:rFonts w:ascii="Times New Roman" w:hAnsi="Times New Roman"/>
          <w:b/>
          <w:sz w:val="24"/>
          <w:szCs w:val="24"/>
          <w:lang w:val="ro-RO"/>
        </w:rPr>
        <w:t xml:space="preserve"> virală B</w:t>
      </w:r>
    </w:p>
    <w:p w:rsidR="004D479F" w:rsidRPr="004D479F" w:rsidRDefault="004D479F" w:rsidP="004D479F">
      <w:pPr>
        <w:spacing w:after="0" w:line="240" w:lineRule="auto"/>
        <w:jc w:val="center"/>
        <w:rPr>
          <w:lang w:val="fr-FR"/>
        </w:rPr>
      </w:pPr>
    </w:p>
    <w:p w:rsidR="004D479F" w:rsidRPr="004D479F" w:rsidRDefault="004D479F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fr-FR"/>
        </w:rPr>
      </w:pPr>
    </w:p>
    <w:sectPr w:rsidR="004D479F" w:rsidRPr="004D479F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5" w:rsidRDefault="00FD21B5" w:rsidP="00F359D6">
      <w:pPr>
        <w:spacing w:after="0" w:line="240" w:lineRule="auto"/>
      </w:pPr>
      <w:r>
        <w:separator/>
      </w:r>
    </w:p>
  </w:endnote>
  <w:end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5" w:rsidRDefault="00FD21B5" w:rsidP="00F359D6">
      <w:pPr>
        <w:spacing w:after="0" w:line="240" w:lineRule="auto"/>
      </w:pPr>
      <w:r>
        <w:separator/>
      </w:r>
    </w:p>
  </w:footnote>
  <w:foot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0EC6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453F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1989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o-RO"/>
                      <a:t>.0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-4.3823632147532196E-2"/>
                  <c:y val="7.4092339881003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1.7103153393907219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o-RO"/>
                      <a:t>.0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4.2757883484767507E-2"/>
                  <c:y val="4.2704626334520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3.848209513629075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Val val="1"/>
            </c:dLbl>
            <c:dLbl>
              <c:idx val="19"/>
              <c:delete val="1"/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 sz="1100" b="1"/>
                </a:pPr>
                <a:endParaRPr lang="ru-RU"/>
              </a:p>
            </c:txPr>
            <c:showVal val="1"/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</c:ser>
        <c:marker val="1"/>
        <c:axId val="80840192"/>
        <c:axId val="80841728"/>
      </c:lineChart>
      <c:catAx>
        <c:axId val="80840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841728"/>
        <c:crosses val="autoZero"/>
        <c:auto val="1"/>
        <c:lblAlgn val="ctr"/>
        <c:lblOffset val="100"/>
      </c:catAx>
      <c:valAx>
        <c:axId val="80841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 b="1"/>
            </a:pPr>
            <a:endParaRPr lang="ru-RU"/>
          </a:p>
        </c:txPr>
        <c:crossAx val="808401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depthPercent val="110"/>
      <c:rAngAx val="1"/>
    </c:view3D>
    <c:plotArea>
      <c:layout>
        <c:manualLayout>
          <c:layoutTarget val="inner"/>
          <c:xMode val="edge"/>
          <c:yMode val="edge"/>
          <c:x val="6.0025153105861775E-2"/>
          <c:y val="4.3650793650793704E-2"/>
          <c:w val="0.86148494459025959"/>
          <c:h val="0.83161979752531046"/>
        </c:manualLayout>
      </c:layout>
      <c:bar3DChart>
        <c:barDir val="col"/>
        <c:grouping val="standard"/>
        <c:ser>
          <c:idx val="0"/>
          <c:order val="0"/>
          <c:tx>
            <c:strRef>
              <c:f>Foaie1!$B$1</c:f>
              <c:strCache>
                <c:ptCount val="1"/>
                <c:pt idx="0">
                  <c:v>AST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6203703703703703E-2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1.9841269841269851E-2"/>
                </c:manualLayout>
              </c:layout>
              <c:showVal val="1"/>
            </c:dLbl>
            <c:dLbl>
              <c:idx val="3"/>
              <c:layout>
                <c:manualLayout>
                  <c:x val="1.6203703703703703E-2"/>
                  <c:y val="1.5873015873015879E-2"/>
                </c:manualLayout>
              </c:layout>
              <c:showVal val="1"/>
            </c:dLbl>
            <c:dLbl>
              <c:idx val="4"/>
              <c:layout>
                <c:manualLayout>
                  <c:x val="1.8518336249635461E-2"/>
                  <c:y val="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solidFill>
                      <a:srgbClr val="000099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Foaie1!$A$2:$A$6</c:f>
              <c:strCache>
                <c:ptCount val="5"/>
                <c:pt idx="0">
                  <c:v>Hepatita cronică</c:v>
                </c:pt>
                <c:pt idx="1">
                  <c:v>Hepatopatia</c:v>
                </c:pt>
                <c:pt idx="2">
                  <c:v>Steatoza</c:v>
                </c:pt>
                <c:pt idx="3">
                  <c:v>Ciroza hepatică</c:v>
                </c:pt>
                <c:pt idx="4">
                  <c:v>Lotul martor</c:v>
                </c:pt>
              </c:strCache>
            </c:strRef>
          </c:cat>
          <c:val>
            <c:numRef>
              <c:f>Foaie1!$B$2:$B$6</c:f>
              <c:numCache>
                <c:formatCode>General</c:formatCode>
                <c:ptCount val="5"/>
                <c:pt idx="0">
                  <c:v>42.349999999999994</c:v>
                </c:pt>
                <c:pt idx="1">
                  <c:v>25.12</c:v>
                </c:pt>
                <c:pt idx="2">
                  <c:v>25.62</c:v>
                </c:pt>
                <c:pt idx="3">
                  <c:v>22.25</c:v>
                </c:pt>
                <c:pt idx="4">
                  <c:v>20.079999999999988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ALT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3148148148148147E-2"/>
                  <c:y val="-4.761904761904763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8A001A"/>
                        </a:solidFill>
                      </a:rPr>
                      <a:t>5</a:t>
                    </a:r>
                    <a:r>
                      <a:rPr lang="en-US">
                        <a:solidFill>
                          <a:srgbClr val="8A001A"/>
                        </a:solidFill>
                      </a:rPr>
                      <a:t>5,41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7777777777777877E-2"/>
                  <c:y val="-9.1269841269841251E-2"/>
                </c:manualLayout>
              </c:layout>
              <c:showVal val="1"/>
            </c:dLbl>
            <c:dLbl>
              <c:idx val="2"/>
              <c:layout>
                <c:manualLayout>
                  <c:x val="3.4722222222222231E-2"/>
                  <c:y val="-7.1428571428571438E-2"/>
                </c:manualLayout>
              </c:layout>
              <c:showVal val="1"/>
            </c:dLbl>
            <c:dLbl>
              <c:idx val="3"/>
              <c:layout>
                <c:manualLayout>
                  <c:x val="3.2407407407407482E-2"/>
                  <c:y val="-6.3492063492063502E-2"/>
                </c:manualLayout>
              </c:layout>
              <c:showVal val="1"/>
            </c:dLbl>
            <c:dLbl>
              <c:idx val="4"/>
              <c:layout>
                <c:manualLayout>
                  <c:x val="3.4722222222222231E-2"/>
                  <c:y val="-4.365079365079370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solidFill>
                      <a:srgbClr val="8A001A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Foaie1!$A$2:$A$6</c:f>
              <c:strCache>
                <c:ptCount val="5"/>
                <c:pt idx="0">
                  <c:v>Hepatita cronică</c:v>
                </c:pt>
                <c:pt idx="1">
                  <c:v>Hepatopatia</c:v>
                </c:pt>
                <c:pt idx="2">
                  <c:v>Steatoza</c:v>
                </c:pt>
                <c:pt idx="3">
                  <c:v>Ciroza hepatică</c:v>
                </c:pt>
                <c:pt idx="4">
                  <c:v>Lotul martor</c:v>
                </c:pt>
              </c:strCache>
            </c:strRef>
          </c:cat>
          <c:val>
            <c:numRef>
              <c:f>Foaie1!$C$2:$C$6</c:f>
              <c:numCache>
                <c:formatCode>General</c:formatCode>
                <c:ptCount val="5"/>
                <c:pt idx="0">
                  <c:v>55.41</c:v>
                </c:pt>
                <c:pt idx="1">
                  <c:v>39.620000000000012</c:v>
                </c:pt>
                <c:pt idx="2">
                  <c:v>39.790000000000013</c:v>
                </c:pt>
                <c:pt idx="3">
                  <c:v>41.1</c:v>
                </c:pt>
                <c:pt idx="4">
                  <c:v>25.23</c:v>
                </c:pt>
              </c:numCache>
            </c:numRef>
          </c:val>
        </c:ser>
        <c:dLbls>
          <c:showVal val="1"/>
        </c:dLbls>
        <c:shape val="box"/>
        <c:axId val="80931456"/>
        <c:axId val="43016576"/>
        <c:axId val="78321856"/>
      </c:bar3DChart>
      <c:catAx>
        <c:axId val="80931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3016576"/>
        <c:crosses val="autoZero"/>
        <c:auto val="1"/>
        <c:lblAlgn val="ctr"/>
        <c:lblOffset val="100"/>
      </c:catAx>
      <c:valAx>
        <c:axId val="43016576"/>
        <c:scaling>
          <c:orientation val="minMax"/>
        </c:scaling>
        <c:axPos val="l"/>
        <c:majorGridlines/>
        <c:numFmt formatCode="General" sourceLinked="1"/>
        <c:tickLblPos val="nextTo"/>
        <c:crossAx val="80931456"/>
        <c:crosses val="autoZero"/>
        <c:crossBetween val="between"/>
      </c:valAx>
      <c:serAx>
        <c:axId val="78321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3016576"/>
        <c:crosses val="autoZero"/>
      </c:serAx>
    </c:plotArea>
    <c:plotVisOnly val="1"/>
    <c:dispBlanksAs val="gap"/>
  </c:chart>
  <c:txPr>
    <a:bodyPr/>
    <a:lstStyle/>
    <a:p>
      <a:pPr>
        <a:defRPr sz="105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luni</c:v>
                </c:pt>
              </c:strCache>
            </c:strRef>
          </c:tx>
          <c:dLbls>
            <c:dLbl>
              <c:idx val="0"/>
              <c:layout>
                <c:manualLayout>
                  <c:x val="-2.083333333333334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1574074074074073E-2"/>
                  <c:y val="-1.5873015873015889E-2"/>
                </c:manualLayout>
              </c:layout>
              <c:showVal val="1"/>
            </c:dLbl>
            <c:dLbl>
              <c:idx val="2"/>
              <c:layout>
                <c:manualLayout>
                  <c:x val="-1.62037037037037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9444444444444475E-3"/>
                  <c:y val="7.936507936507939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L0</c:v>
                </c:pt>
                <c:pt idx="1">
                  <c:v>L1A</c:v>
                </c:pt>
                <c:pt idx="2">
                  <c:v>L1B</c:v>
                </c:pt>
                <c:pt idx="3">
                  <c:v>L1C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1004.3299999999998</c:v>
                </c:pt>
                <c:pt idx="1">
                  <c:v>946.92</c:v>
                </c:pt>
                <c:pt idx="2">
                  <c:v>829.92</c:v>
                </c:pt>
                <c:pt idx="3">
                  <c:v>514.67999999999995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luni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3.9682539682539698E-3"/>
                </c:manualLayout>
              </c:layout>
              <c:showVal val="1"/>
            </c:dLbl>
            <c:dLbl>
              <c:idx val="1"/>
              <c:layout>
                <c:manualLayout>
                  <c:x val="1.851851851851852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6296296296297161E-3"/>
                  <c:y val="1.190476190476187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L0</c:v>
                </c:pt>
                <c:pt idx="1">
                  <c:v>L1A</c:v>
                </c:pt>
                <c:pt idx="2">
                  <c:v>L1B</c:v>
                </c:pt>
                <c:pt idx="3">
                  <c:v>L1C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1019.3299999999998</c:v>
                </c:pt>
                <c:pt idx="1">
                  <c:v>984.82999999999981</c:v>
                </c:pt>
                <c:pt idx="2">
                  <c:v>905</c:v>
                </c:pt>
                <c:pt idx="3">
                  <c:v>666.76</c:v>
                </c:pt>
              </c:numCache>
            </c:numRef>
          </c:val>
        </c:ser>
        <c:dLbls>
          <c:showVal val="1"/>
        </c:dLbls>
        <c:axId val="81214464"/>
        <c:axId val="81232640"/>
      </c:barChart>
      <c:catAx>
        <c:axId val="812144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81232640"/>
        <c:crosses val="autoZero"/>
        <c:auto val="1"/>
        <c:lblAlgn val="ctr"/>
        <c:lblOffset val="100"/>
      </c:catAx>
      <c:valAx>
        <c:axId val="81232640"/>
        <c:scaling>
          <c:orientation val="minMax"/>
          <c:max val="1400"/>
        </c:scaling>
        <c:axPos val="l"/>
        <c:majorGridlines/>
        <c:numFmt formatCode="General" sourceLinked="1"/>
        <c:tickLblPos val="nextTo"/>
        <c:crossAx val="81214464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9217902449693788"/>
          <c:y val="0.22916666666666666"/>
          <c:w val="0.6371934237387008"/>
          <c:h val="0.60912698412698407"/>
        </c:manualLayout>
      </c:layout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Coloană1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5526757072032662E-4"/>
                  <c:y val="-0.1060445569303838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8014636191309513E-2"/>
                  <c:y val="-4.4750656167979004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4834044181977252E-2"/>
                  <c:y val="4.187195350581177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8901465441819811E-2"/>
                  <c:y val="2.605705536807903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4.4386391805191258E-2"/>
                  <c:y val="-8.967785276840425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6.0874890638670166E-2"/>
                  <c:y val="-6.630327459067618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13180564668999709"/>
                  <c:y val="3.3008373953255852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Foaie1!$A$2:$A$8</c:f>
              <c:strCache>
                <c:ptCount val="7"/>
                <c:pt idx="0">
                  <c:v>Dereglări în alimentație</c:v>
                </c:pt>
                <c:pt idx="1">
                  <c:v>Contact cu substanțe nocive</c:v>
                </c:pt>
                <c:pt idx="2">
                  <c:v>Consum de alcool</c:v>
                </c:pt>
                <c:pt idx="3">
                  <c:v>Intervenții chirurgicale</c:v>
                </c:pt>
                <c:pt idx="4">
                  <c:v>Traume fizice</c:v>
                </c:pt>
                <c:pt idx="5">
                  <c:v>Fumatul</c:v>
                </c:pt>
                <c:pt idx="6">
                  <c:v>Anamneza eredocolaterală agravată</c:v>
                </c:pt>
              </c:strCache>
            </c:strRef>
          </c:cat>
          <c:val>
            <c:numRef>
              <c:f>Foaie1!$B$2:$B$8</c:f>
              <c:numCache>
                <c:formatCode>General</c:formatCode>
                <c:ptCount val="7"/>
                <c:pt idx="0">
                  <c:v>89.86</c:v>
                </c:pt>
                <c:pt idx="1">
                  <c:v>42.03</c:v>
                </c:pt>
                <c:pt idx="2">
                  <c:v>32.309999999999995</c:v>
                </c:pt>
                <c:pt idx="3">
                  <c:v>31.16</c:v>
                </c:pt>
                <c:pt idx="4">
                  <c:v>31.16</c:v>
                </c:pt>
                <c:pt idx="5">
                  <c:v>28.259999999999987</c:v>
                </c:pt>
                <c:pt idx="6">
                  <c:v>5.8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0.17155</cdr:x>
      <cdr:y>0.26246</cdr:y>
    </cdr:from>
    <cdr:to>
      <cdr:x>0.28977</cdr:x>
      <cdr:y>0.35216</cdr:y>
    </cdr:to>
    <cdr:sp macro="" textlink="">
      <cdr:nvSpPr>
        <cdr:cNvPr id="2" name="Casetă text 1"/>
        <cdr:cNvSpPr txBox="1"/>
      </cdr:nvSpPr>
      <cdr:spPr>
        <a:xfrm xmlns:a="http://schemas.openxmlformats.org/drawingml/2006/main">
          <a:off x="941189" y="839977"/>
          <a:ext cx="648602" cy="287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0.1124</cdr:x>
      <cdr:y>0.49502</cdr:y>
    </cdr:from>
    <cdr:to>
      <cdr:x>0.23062</cdr:x>
      <cdr:y>0.58472</cdr:y>
    </cdr:to>
    <cdr:sp macro="" textlink="">
      <cdr:nvSpPr>
        <cdr:cNvPr id="3" name="Casetă text 2"/>
        <cdr:cNvSpPr txBox="1"/>
      </cdr:nvSpPr>
      <cdr:spPr>
        <a:xfrm xmlns:a="http://schemas.openxmlformats.org/drawingml/2006/main">
          <a:off x="616689" y="1584252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0.32037</cdr:x>
      <cdr:y>0.36511</cdr:y>
    </cdr:from>
    <cdr:to>
      <cdr:x>0.43859</cdr:x>
      <cdr:y>0.45481</cdr:y>
    </cdr:to>
    <cdr:sp macro="" textlink="">
      <cdr:nvSpPr>
        <cdr:cNvPr id="4" name="Casetă text 3"/>
        <cdr:cNvSpPr txBox="1"/>
      </cdr:nvSpPr>
      <cdr:spPr>
        <a:xfrm xmlns:a="http://schemas.openxmlformats.org/drawingml/2006/main">
          <a:off x="1757687" y="1168486"/>
          <a:ext cx="648602" cy="287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0.25775</cdr:x>
      <cdr:y>0.62126</cdr:y>
    </cdr:from>
    <cdr:to>
      <cdr:x>0.37597</cdr:x>
      <cdr:y>0.71096</cdr:y>
    </cdr:to>
    <cdr:sp macro="" textlink="">
      <cdr:nvSpPr>
        <cdr:cNvPr id="5" name="Casetă text 4"/>
        <cdr:cNvSpPr txBox="1"/>
      </cdr:nvSpPr>
      <cdr:spPr>
        <a:xfrm xmlns:a="http://schemas.openxmlformats.org/drawingml/2006/main">
          <a:off x="1414131" y="1988289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0.4079</cdr:x>
      <cdr:y>0.61531</cdr:y>
    </cdr:from>
    <cdr:to>
      <cdr:x>0.52612</cdr:x>
      <cdr:y>0.70501</cdr:y>
    </cdr:to>
    <cdr:sp macro="" textlink="">
      <cdr:nvSpPr>
        <cdr:cNvPr id="6" name="Casetă text 5"/>
        <cdr:cNvSpPr txBox="1"/>
      </cdr:nvSpPr>
      <cdr:spPr>
        <a:xfrm xmlns:a="http://schemas.openxmlformats.org/drawingml/2006/main">
          <a:off x="2237906" y="1969231"/>
          <a:ext cx="648602" cy="28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105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105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&lt;0,05</a:t>
          </a:r>
          <a:endParaRPr lang="ro-RO" sz="105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0.46572</cdr:x>
      <cdr:y>0.36877</cdr:y>
    </cdr:from>
    <cdr:to>
      <cdr:x>0.58394</cdr:x>
      <cdr:y>0.45847</cdr:y>
    </cdr:to>
    <cdr:sp macro="" textlink="">
      <cdr:nvSpPr>
        <cdr:cNvPr id="7" name="Casetă text 6"/>
        <cdr:cNvSpPr txBox="1"/>
      </cdr:nvSpPr>
      <cdr:spPr>
        <a:xfrm xmlns:a="http://schemas.openxmlformats.org/drawingml/2006/main">
          <a:off x="2555135" y="1180212"/>
          <a:ext cx="648603" cy="28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0.6124</cdr:x>
      <cdr:y>0.3887</cdr:y>
    </cdr:from>
    <cdr:to>
      <cdr:x>0.73062</cdr:x>
      <cdr:y>0.47841</cdr:y>
    </cdr:to>
    <cdr:sp macro="" textlink="">
      <cdr:nvSpPr>
        <cdr:cNvPr id="8" name="Casetă text 7"/>
        <cdr:cNvSpPr txBox="1"/>
      </cdr:nvSpPr>
      <cdr:spPr>
        <a:xfrm xmlns:a="http://schemas.openxmlformats.org/drawingml/2006/main">
          <a:off x="3359888" y="1244011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0.54845</cdr:x>
      <cdr:y>0.62459</cdr:y>
    </cdr:from>
    <cdr:to>
      <cdr:x>0.66667</cdr:x>
      <cdr:y>0.71429</cdr:y>
    </cdr:to>
    <cdr:sp macro="" textlink="">
      <cdr:nvSpPr>
        <cdr:cNvPr id="9" name="Casetă text 8"/>
        <cdr:cNvSpPr txBox="1"/>
      </cdr:nvSpPr>
      <cdr:spPr>
        <a:xfrm xmlns:a="http://schemas.openxmlformats.org/drawingml/2006/main">
          <a:off x="3009014" y="1998924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&lt;0,01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0.25914</cdr:y>
    </cdr:from>
    <cdr:to>
      <cdr:x>0.11822</cdr:x>
      <cdr:y>0.34884</cdr:y>
    </cdr:to>
    <cdr:sp macro="" textlink="">
      <cdr:nvSpPr>
        <cdr:cNvPr id="10" name="Casetă text 9"/>
        <cdr:cNvSpPr txBox="1"/>
      </cdr:nvSpPr>
      <cdr:spPr>
        <a:xfrm xmlns:a="http://schemas.openxmlformats.org/drawingml/2006/main">
          <a:off x="0" y="829342"/>
          <a:ext cx="648586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Un/l</a:t>
          </a:r>
          <a:endParaRPr lang="ro-RO" sz="105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0.12791</cdr:x>
      <cdr:y>0.66113</cdr:y>
    </cdr:from>
    <cdr:to>
      <cdr:x>0.1938</cdr:x>
      <cdr:y>0.75083</cdr:y>
    </cdr:to>
    <cdr:sp macro="" textlink="">
      <cdr:nvSpPr>
        <cdr:cNvPr id="11" name="Casetă text 10"/>
        <cdr:cNvSpPr txBox="1"/>
      </cdr:nvSpPr>
      <cdr:spPr>
        <a:xfrm xmlns:a="http://schemas.openxmlformats.org/drawingml/2006/main">
          <a:off x="701748" y="2115879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0.1938</cdr:x>
      <cdr:y>0.43189</cdr:y>
    </cdr:from>
    <cdr:to>
      <cdr:x>0.25969</cdr:x>
      <cdr:y>0.5216</cdr:y>
    </cdr:to>
    <cdr:sp macro="" textlink="">
      <cdr:nvSpPr>
        <cdr:cNvPr id="12" name="Casetă text 11"/>
        <cdr:cNvSpPr txBox="1"/>
      </cdr:nvSpPr>
      <cdr:spPr>
        <a:xfrm xmlns:a="http://schemas.openxmlformats.org/drawingml/2006/main">
          <a:off x="1063256" y="1382234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0.33527</cdr:x>
      <cdr:y>0.43189</cdr:y>
    </cdr:from>
    <cdr:to>
      <cdr:x>0.40116</cdr:x>
      <cdr:y>0.5216</cdr:y>
    </cdr:to>
    <cdr:sp macro="" textlink="">
      <cdr:nvSpPr>
        <cdr:cNvPr id="13" name="Casetă text 12"/>
        <cdr:cNvSpPr txBox="1"/>
      </cdr:nvSpPr>
      <cdr:spPr>
        <a:xfrm xmlns:a="http://schemas.openxmlformats.org/drawingml/2006/main">
          <a:off x="1839432" y="1382234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0.26938</cdr:x>
      <cdr:y>0.68439</cdr:y>
    </cdr:from>
    <cdr:to>
      <cdr:x>0.33527</cdr:x>
      <cdr:y>0.77409</cdr:y>
    </cdr:to>
    <cdr:sp macro="" textlink="">
      <cdr:nvSpPr>
        <cdr:cNvPr id="14" name="Casetă text 13"/>
        <cdr:cNvSpPr txBox="1"/>
      </cdr:nvSpPr>
      <cdr:spPr>
        <a:xfrm xmlns:a="http://schemas.openxmlformats.org/drawingml/2006/main">
          <a:off x="1477925" y="2190309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0.41279</cdr:x>
      <cdr:y>0.67774</cdr:y>
    </cdr:from>
    <cdr:to>
      <cdr:x>0.47868</cdr:x>
      <cdr:y>0.76744</cdr:y>
    </cdr:to>
    <cdr:sp macro="" textlink="">
      <cdr:nvSpPr>
        <cdr:cNvPr id="15" name="Casetă text 14"/>
        <cdr:cNvSpPr txBox="1"/>
      </cdr:nvSpPr>
      <cdr:spPr>
        <a:xfrm xmlns:a="http://schemas.openxmlformats.org/drawingml/2006/main">
          <a:off x="2264734" y="2169044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9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0.47674</cdr:x>
      <cdr:y>0.44186</cdr:y>
    </cdr:from>
    <cdr:to>
      <cdr:x>0.54264</cdr:x>
      <cdr:y>0.53156</cdr:y>
    </cdr:to>
    <cdr:sp macro="" textlink="">
      <cdr:nvSpPr>
        <cdr:cNvPr id="16" name="Casetă text 15"/>
        <cdr:cNvSpPr txBox="1"/>
      </cdr:nvSpPr>
      <cdr:spPr>
        <a:xfrm xmlns:a="http://schemas.openxmlformats.org/drawingml/2006/main">
          <a:off x="2615608" y="1414133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0.55814</cdr:x>
      <cdr:y>0.68106</cdr:y>
    </cdr:from>
    <cdr:to>
      <cdr:x>0.62403</cdr:x>
      <cdr:y>0.77076</cdr:y>
    </cdr:to>
    <cdr:sp macro="" textlink="">
      <cdr:nvSpPr>
        <cdr:cNvPr id="17" name="Casetă text 16"/>
        <cdr:cNvSpPr txBox="1"/>
      </cdr:nvSpPr>
      <cdr:spPr>
        <a:xfrm xmlns:a="http://schemas.openxmlformats.org/drawingml/2006/main">
          <a:off x="3062175" y="2179677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000099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**</a:t>
          </a:r>
          <a:endParaRPr lang="ro-RO" sz="1400" b="1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0.62403</cdr:x>
      <cdr:y>0.45515</cdr:y>
    </cdr:from>
    <cdr:to>
      <cdr:x>0.68992</cdr:x>
      <cdr:y>0.54485</cdr:y>
    </cdr:to>
    <cdr:sp macro="" textlink="">
      <cdr:nvSpPr>
        <cdr:cNvPr id="18" name="Casetă text 17"/>
        <cdr:cNvSpPr txBox="1"/>
      </cdr:nvSpPr>
      <cdr:spPr>
        <a:xfrm xmlns:a="http://schemas.openxmlformats.org/drawingml/2006/main">
          <a:off x="3423682" y="1456663"/>
          <a:ext cx="361507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solidFill>
                <a:srgbClr val="8A001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ro-RO" sz="1400" b="1">
            <a:solidFill>
              <a:srgbClr val="8A001A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AB13-EEA5-4845-995C-A3C1B9EE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Rojnoveanu Gheorghe</cp:lastModifiedBy>
  <cp:revision>3</cp:revision>
  <cp:lastPrinted>2017-06-06T11:16:00Z</cp:lastPrinted>
  <dcterms:created xsi:type="dcterms:W3CDTF">2017-06-26T14:57:00Z</dcterms:created>
  <dcterms:modified xsi:type="dcterms:W3CDTF">2017-06-26T15:21:00Z</dcterms:modified>
</cp:coreProperties>
</file>